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7D" w:rsidRDefault="00F322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4"/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3"/>
        <w:gridCol w:w="4460"/>
        <w:gridCol w:w="3897"/>
      </w:tblGrid>
      <w:tr w:rsidR="00F3227D">
        <w:trPr>
          <w:trHeight w:val="300"/>
          <w:jc w:val="center"/>
        </w:trPr>
        <w:tc>
          <w:tcPr>
            <w:tcW w:w="19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3227D" w:rsidRDefault="007B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1047115" cy="875030"/>
                  <wp:effectExtent l="0" t="0" r="0" b="0"/>
                  <wp:docPr id="1040" name="image4.png" descr="H:\NCBE Logo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:\NCBE Logo.t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875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27D" w:rsidRDefault="007B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Website:www.sbisabengalcircle.co.in</w:t>
            </w:r>
            <w:proofErr w:type="spellEnd"/>
          </w:p>
        </w:tc>
        <w:tc>
          <w:tcPr>
            <w:tcW w:w="38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3227D" w:rsidRDefault="007B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Telephone No. 2248-6024(Union)</w:t>
            </w:r>
          </w:p>
          <w:p w:rsidR="00F3227D" w:rsidRDefault="007B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Tele Fax :         2248-7019(union)</w:t>
            </w:r>
          </w:p>
          <w:p w:rsidR="00F3227D" w:rsidRDefault="007B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Tele Fax :         2243-6729 (LHO)</w:t>
            </w:r>
          </w:p>
        </w:tc>
      </w:tr>
      <w:tr w:rsidR="00F3227D">
        <w:trPr>
          <w:trHeight w:val="180"/>
          <w:jc w:val="center"/>
        </w:trPr>
        <w:tc>
          <w:tcPr>
            <w:tcW w:w="190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3227D" w:rsidRDefault="00F3227D" w:rsidP="00A51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27D" w:rsidRDefault="007B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Mobile No. 9836652055(G.S.)</w:t>
            </w:r>
          </w:p>
        </w:tc>
        <w:tc>
          <w:tcPr>
            <w:tcW w:w="389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3227D" w:rsidRDefault="00F3227D" w:rsidP="00A51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227D">
        <w:trPr>
          <w:jc w:val="center"/>
        </w:trPr>
        <w:tc>
          <w:tcPr>
            <w:tcW w:w="190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3227D" w:rsidRDefault="00F3227D" w:rsidP="00A51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35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27D" w:rsidRDefault="007B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NATIONAL CONFEDERATION OF BANK EMPLOYEES</w:t>
            </w:r>
          </w:p>
          <w:p w:rsidR="00F3227D" w:rsidRDefault="007B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WEST BENGAL STATE FEDERATION)</w:t>
            </w:r>
          </w:p>
          <w:p w:rsidR="00F3227D" w:rsidRDefault="007B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(Registered under the Trade Union Act 1926: Registration No. B-2334)</w:t>
            </w:r>
          </w:p>
        </w:tc>
      </w:tr>
      <w:tr w:rsidR="00F3227D">
        <w:trPr>
          <w:jc w:val="center"/>
        </w:trPr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27D" w:rsidRDefault="007B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All letters to be addressed to the General Secretary</w:t>
            </w:r>
          </w:p>
        </w:tc>
        <w:tc>
          <w:tcPr>
            <w:tcW w:w="83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27D" w:rsidRDefault="007B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“AJIT SEN BHAWAN”</w:t>
            </w:r>
          </w:p>
          <w:p w:rsidR="00F3227D" w:rsidRDefault="007B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13, Crooked Lane (1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Floor)</w:t>
            </w:r>
          </w:p>
          <w:p w:rsidR="00F3227D" w:rsidRDefault="007B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Kolkata – 700 069</w:t>
            </w:r>
          </w:p>
        </w:tc>
      </w:tr>
    </w:tbl>
    <w:p w:rsidR="00F3227D" w:rsidRDefault="007B5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CIRCULAR NO.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NCBE(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WB)/59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TO ALL AFFILIATES/MEMBERS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DATE: 20.08.2018</w:t>
      </w:r>
    </w:p>
    <w:p w:rsidR="00F3227D" w:rsidRDefault="00F322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F3227D" w:rsidRDefault="007B505B" w:rsidP="00A51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Dear Comrades,</w:t>
      </w:r>
    </w:p>
    <w:p w:rsidR="00F3227D" w:rsidRDefault="00F322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Verdana" w:eastAsia="Verdana" w:hAnsi="Verdana" w:cs="Verdana"/>
          <w:color w:val="000000"/>
          <w:u w:val="single"/>
        </w:rPr>
      </w:pPr>
    </w:p>
    <w:p w:rsidR="00F3227D" w:rsidRDefault="007B50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>BIPARTITE TALKS WITH IBA</w:t>
      </w:r>
    </w:p>
    <w:p w:rsidR="00F3227D" w:rsidRDefault="007B505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We reproduce hereunder the text of Circular No.23 dated the 19</w:t>
      </w:r>
      <w:r>
        <w:rPr>
          <w:rFonts w:ascii="Verdana" w:eastAsia="Verdana" w:hAnsi="Verdana" w:cs="Verdana"/>
          <w:color w:val="000000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August 2018   issued by Com.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Sanjeev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K.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Bandlish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>, General Secretary, National Confederation of Bank Employees incorporated therein the Minutes of the Discussions held on 18.08.2018 between the Sub-Committee of IBA Negotiating Committee and 5 Unions viz. A</w:t>
      </w:r>
      <w:r>
        <w:rPr>
          <w:rFonts w:ascii="Verdana" w:eastAsia="Verdana" w:hAnsi="Verdana" w:cs="Verdana"/>
          <w:color w:val="000000"/>
          <w:sz w:val="24"/>
          <w:szCs w:val="24"/>
        </w:rPr>
        <w:t>IBEA, NCBE, BEFI, INBEF and NOBW dated the 19</w:t>
      </w:r>
      <w:r>
        <w:rPr>
          <w:rFonts w:ascii="Verdana" w:eastAsia="Verdana" w:hAnsi="Verdana" w:cs="Verdana"/>
          <w:color w:val="000000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August 2018, for information of all affiliates and members.  </w:t>
      </w:r>
    </w:p>
    <w:p w:rsidR="00F3227D" w:rsidRDefault="007B5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</w:t>
      </w:r>
    </w:p>
    <w:p w:rsidR="00F3227D" w:rsidRDefault="007B505B" w:rsidP="00A51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With revolutionary greetings</w:t>
      </w:r>
      <w:r>
        <w:rPr>
          <w:rFonts w:ascii="Verdana" w:eastAsia="Verdana" w:hAnsi="Verdana" w:cs="Verdana"/>
          <w:color w:val="000000"/>
        </w:rPr>
        <w:t>,</w:t>
      </w:r>
    </w:p>
    <w:p w:rsidR="00F3227D" w:rsidRDefault="00F322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F3227D" w:rsidRDefault="007B5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color w:val="000000"/>
        </w:rPr>
        <w:drawing>
          <wp:inline distT="0" distB="0" distL="114300" distR="114300">
            <wp:extent cx="3253105" cy="607695"/>
            <wp:effectExtent l="0" t="0" r="0" b="0"/>
            <wp:docPr id="1039" name="image3.png" descr="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ignatur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607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27D" w:rsidRDefault="007B5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(SIDDHARTHA KHAN)</w:t>
      </w:r>
    </w:p>
    <w:p w:rsidR="00F3227D" w:rsidRDefault="007B50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GENERAL SECRETARY</w:t>
      </w:r>
    </w:p>
    <w:p w:rsidR="00F3227D" w:rsidRDefault="007B505B" w:rsidP="00A51424">
      <w:pPr>
        <w:spacing w:line="240" w:lineRule="auto"/>
        <w:ind w:left="0" w:hanging="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-----------------------------------------------------------------------------------------------</w:t>
      </w:r>
    </w:p>
    <w:p w:rsidR="00F3227D" w:rsidRPr="00A51424" w:rsidRDefault="007B505B" w:rsidP="00A51424">
      <w:pP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“</w:t>
      </w:r>
      <w:r>
        <w:rPr>
          <w:rFonts w:ascii="Verdana" w:eastAsia="Verdana" w:hAnsi="Verdana" w:cs="Verdana"/>
          <w:color w:val="000000"/>
        </w:rPr>
        <w:t>As informed earlier, another round of Bipartite Talks (8</w:t>
      </w:r>
      <w:r>
        <w:rPr>
          <w:rFonts w:ascii="Verdana" w:eastAsia="Verdana" w:hAnsi="Verdana" w:cs="Verdana"/>
          <w:color w:val="000000"/>
          <w:vertAlign w:val="superscript"/>
        </w:rPr>
        <w:t>th</w:t>
      </w:r>
      <w:r>
        <w:rPr>
          <w:rFonts w:ascii="Verdana" w:eastAsia="Verdana" w:hAnsi="Verdana" w:cs="Verdana"/>
          <w:color w:val="000000"/>
        </w:rPr>
        <w:t xml:space="preserve"> round of Small Committee discussions) was held by Indian Banks’ Association with our 5 Workman Union</w:t>
      </w:r>
      <w:r>
        <w:rPr>
          <w:rFonts w:ascii="Verdana" w:eastAsia="Verdana" w:hAnsi="Verdana" w:cs="Verdana"/>
          <w:color w:val="000000"/>
        </w:rPr>
        <w:t xml:space="preserve">s yesterday at Mumbai.  </w:t>
      </w:r>
    </w:p>
    <w:p w:rsidR="00F3227D" w:rsidRPr="00A51424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IBA team consisted of  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Shri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Rajkiran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Rai</w:t>
      </w:r>
      <w:proofErr w:type="spellEnd"/>
      <w:r>
        <w:rPr>
          <w:rFonts w:ascii="Verdana" w:eastAsia="Verdana" w:hAnsi="Verdana" w:cs="Verdana"/>
          <w:color w:val="000000"/>
        </w:rPr>
        <w:t xml:space="preserve"> G (MD/CEO, Union Bank of India)–Chairman of the Committee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Shri</w:t>
      </w:r>
      <w:proofErr w:type="spellEnd"/>
      <w:r>
        <w:rPr>
          <w:rFonts w:ascii="Verdana" w:eastAsia="Verdana" w:hAnsi="Verdana" w:cs="Verdana"/>
          <w:color w:val="000000"/>
        </w:rPr>
        <w:t xml:space="preserve"> B. </w:t>
      </w:r>
      <w:proofErr w:type="spellStart"/>
      <w:r>
        <w:rPr>
          <w:rFonts w:ascii="Verdana" w:eastAsia="Verdana" w:hAnsi="Verdana" w:cs="Verdana"/>
          <w:color w:val="000000"/>
        </w:rPr>
        <w:t>Rajkumar</w:t>
      </w:r>
      <w:proofErr w:type="spellEnd"/>
      <w:r>
        <w:rPr>
          <w:rFonts w:ascii="Verdana" w:eastAsia="Verdana" w:hAnsi="Verdana" w:cs="Verdana"/>
          <w:color w:val="000000"/>
        </w:rPr>
        <w:t xml:space="preserve">, Dy. Chief Executive, IBA, 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Shri</w:t>
      </w:r>
      <w:proofErr w:type="spellEnd"/>
      <w:r>
        <w:rPr>
          <w:rFonts w:ascii="Verdana" w:eastAsia="Verdana" w:hAnsi="Verdana" w:cs="Verdana"/>
          <w:color w:val="000000"/>
        </w:rPr>
        <w:t xml:space="preserve"> M.K. Gupta, GM-HR, Bank of India, 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Shri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Punit</w:t>
      </w:r>
      <w:proofErr w:type="spellEnd"/>
      <w:r>
        <w:rPr>
          <w:rFonts w:ascii="Verdana" w:eastAsia="Verdana" w:hAnsi="Verdana" w:cs="Verdana"/>
          <w:color w:val="000000"/>
        </w:rPr>
        <w:t xml:space="preserve"> Jain, GM-HR, PNB, 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Shri</w:t>
      </w:r>
      <w:proofErr w:type="spellEnd"/>
      <w:r>
        <w:rPr>
          <w:rFonts w:ascii="Verdana" w:eastAsia="Verdana" w:hAnsi="Verdana" w:cs="Verdana"/>
          <w:color w:val="000000"/>
        </w:rPr>
        <w:t xml:space="preserve"> T.S. </w:t>
      </w:r>
      <w:proofErr w:type="spellStart"/>
      <w:r>
        <w:rPr>
          <w:rFonts w:ascii="Verdana" w:eastAsia="Verdana" w:hAnsi="Verdana" w:cs="Verdana"/>
          <w:color w:val="000000"/>
        </w:rPr>
        <w:t>Sesh</w:t>
      </w:r>
      <w:r>
        <w:rPr>
          <w:rFonts w:ascii="Verdana" w:eastAsia="Verdana" w:hAnsi="Verdana" w:cs="Verdana"/>
          <w:color w:val="000000"/>
        </w:rPr>
        <w:t>adri</w:t>
      </w:r>
      <w:proofErr w:type="spellEnd"/>
      <w:r>
        <w:rPr>
          <w:rFonts w:ascii="Verdana" w:eastAsia="Verdana" w:hAnsi="Verdana" w:cs="Verdana"/>
          <w:color w:val="000000"/>
        </w:rPr>
        <w:t xml:space="preserve">, GM-HR, Indian Bank, 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Shri</w:t>
      </w:r>
      <w:proofErr w:type="spellEnd"/>
      <w:r>
        <w:rPr>
          <w:rFonts w:ascii="Verdana" w:eastAsia="Verdana" w:hAnsi="Verdana" w:cs="Verdana"/>
          <w:color w:val="000000"/>
        </w:rPr>
        <w:t xml:space="preserve"> S.K. </w:t>
      </w:r>
      <w:proofErr w:type="spellStart"/>
      <w:r>
        <w:rPr>
          <w:rFonts w:ascii="Verdana" w:eastAsia="Verdana" w:hAnsi="Verdana" w:cs="Verdana"/>
          <w:color w:val="000000"/>
        </w:rPr>
        <w:t>Suri</w:t>
      </w:r>
      <w:proofErr w:type="spellEnd"/>
      <w:r>
        <w:rPr>
          <w:rFonts w:ascii="Verdana" w:eastAsia="Verdana" w:hAnsi="Verdana" w:cs="Verdana"/>
          <w:color w:val="000000"/>
        </w:rPr>
        <w:t xml:space="preserve">, GM-HR, Allahabad Bank 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proofErr w:type="spellStart"/>
      <w:proofErr w:type="gramStart"/>
      <w:r>
        <w:rPr>
          <w:rFonts w:ascii="Verdana" w:eastAsia="Verdana" w:hAnsi="Verdana" w:cs="Verdana"/>
          <w:color w:val="000000"/>
        </w:rPr>
        <w:t>Shri</w:t>
      </w:r>
      <w:proofErr w:type="spellEnd"/>
      <w:r>
        <w:rPr>
          <w:rFonts w:ascii="Verdana" w:eastAsia="Verdana" w:hAnsi="Verdana" w:cs="Verdana"/>
          <w:color w:val="000000"/>
        </w:rPr>
        <w:t xml:space="preserve"> Sanjay </w:t>
      </w:r>
      <w:proofErr w:type="spellStart"/>
      <w:r>
        <w:rPr>
          <w:rFonts w:ascii="Verdana" w:eastAsia="Verdana" w:hAnsi="Verdana" w:cs="Verdana"/>
          <w:color w:val="000000"/>
        </w:rPr>
        <w:t>Prakash</w:t>
      </w:r>
      <w:proofErr w:type="spellEnd"/>
      <w:r>
        <w:rPr>
          <w:rFonts w:ascii="Verdana" w:eastAsia="Verdana" w:hAnsi="Verdana" w:cs="Verdana"/>
          <w:color w:val="000000"/>
        </w:rPr>
        <w:t>, DGM-HR, SBI.</w:t>
      </w:r>
      <w:proofErr w:type="gramEnd"/>
      <w:r>
        <w:rPr>
          <w:rFonts w:ascii="Verdana" w:eastAsia="Verdana" w:hAnsi="Verdana" w:cs="Verdana"/>
          <w:color w:val="000000"/>
        </w:rPr>
        <w:t xml:space="preserve"> 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Shri</w:t>
      </w:r>
      <w:proofErr w:type="spellEnd"/>
      <w:r>
        <w:rPr>
          <w:rFonts w:ascii="Verdana" w:eastAsia="Verdana" w:hAnsi="Verdana" w:cs="Verdana"/>
          <w:color w:val="000000"/>
        </w:rPr>
        <w:t xml:space="preserve"> S.K </w:t>
      </w:r>
      <w:proofErr w:type="spellStart"/>
      <w:r>
        <w:rPr>
          <w:rFonts w:ascii="Verdana" w:eastAsia="Verdana" w:hAnsi="Verdana" w:cs="Verdana"/>
          <w:color w:val="000000"/>
        </w:rPr>
        <w:t>Kakkar</w:t>
      </w:r>
      <w:proofErr w:type="spellEnd"/>
      <w:proofErr w:type="gramStart"/>
      <w:r>
        <w:rPr>
          <w:rFonts w:ascii="Verdana" w:eastAsia="Verdana" w:hAnsi="Verdana" w:cs="Verdana"/>
          <w:color w:val="000000"/>
        </w:rPr>
        <w:t>,  Sr</w:t>
      </w:r>
      <w:proofErr w:type="gramEnd"/>
      <w:r>
        <w:rPr>
          <w:rFonts w:ascii="Verdana" w:eastAsia="Verdana" w:hAnsi="Verdana" w:cs="Verdana"/>
          <w:color w:val="000000"/>
        </w:rPr>
        <w:t>. Advisor-HR&amp;IR, IBA</w:t>
      </w:r>
    </w:p>
    <w:p w:rsidR="00A51424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Shri</w:t>
      </w:r>
      <w:proofErr w:type="spellEnd"/>
      <w:r>
        <w:rPr>
          <w:rFonts w:ascii="Verdana" w:eastAsia="Verdana" w:hAnsi="Verdana" w:cs="Verdana"/>
          <w:color w:val="000000"/>
        </w:rPr>
        <w:t xml:space="preserve"> K S </w:t>
      </w:r>
      <w:proofErr w:type="spellStart"/>
      <w:r>
        <w:rPr>
          <w:rFonts w:ascii="Verdana" w:eastAsia="Verdana" w:hAnsi="Verdana" w:cs="Verdana"/>
          <w:color w:val="000000"/>
        </w:rPr>
        <w:t>Chauhan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</w:rPr>
        <w:t>Sr.Vice</w:t>
      </w:r>
      <w:proofErr w:type="spellEnd"/>
      <w:r>
        <w:rPr>
          <w:rFonts w:ascii="Verdana" w:eastAsia="Verdana" w:hAnsi="Verdana" w:cs="Verdana"/>
          <w:color w:val="000000"/>
        </w:rPr>
        <w:t xml:space="preserve"> President, HR&amp;IR, IBA</w:t>
      </w:r>
      <w:bookmarkStart w:id="0" w:name="_gjdgxs" w:colFirst="0" w:colLast="0"/>
      <w:bookmarkEnd w:id="0"/>
    </w:p>
    <w:p w:rsidR="00A51424" w:rsidRPr="00A51424" w:rsidRDefault="00A51424" w:rsidP="00A51424">
      <w:pPr>
        <w:pStyle w:val="Normal4"/>
        <w:spacing w:after="0"/>
      </w:pPr>
    </w:p>
    <w:p w:rsidR="00F3227D" w:rsidRDefault="007B505B" w:rsidP="00A51424">
      <w:pP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Our team consisted of representatives from our 5 Workman Unions as under</w:t>
      </w:r>
    </w:p>
    <w:p w:rsidR="00F3227D" w:rsidRPr="00A51424" w:rsidRDefault="00F3227D" w:rsidP="00A51424">
      <w:pPr>
        <w:spacing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 C H </w:t>
      </w:r>
      <w:proofErr w:type="spellStart"/>
      <w:r>
        <w:rPr>
          <w:rFonts w:ascii="Verdana" w:eastAsia="Verdana" w:hAnsi="Verdana" w:cs="Verdana"/>
          <w:color w:val="000000"/>
        </w:rPr>
        <w:t>Venkatachalam</w:t>
      </w:r>
      <w:proofErr w:type="spellEnd"/>
      <w:r>
        <w:rPr>
          <w:rFonts w:ascii="Verdana" w:eastAsia="Verdana" w:hAnsi="Verdana" w:cs="Verdana"/>
          <w:color w:val="000000"/>
        </w:rPr>
        <w:t>, AIBEA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 </w:t>
      </w:r>
      <w:proofErr w:type="spellStart"/>
      <w:r>
        <w:rPr>
          <w:rFonts w:ascii="Verdana" w:eastAsia="Verdana" w:hAnsi="Verdana" w:cs="Verdana"/>
          <w:color w:val="000000"/>
        </w:rPr>
        <w:t>Rajen</w:t>
      </w:r>
      <w:proofErr w:type="spellEnd"/>
      <w:r>
        <w:rPr>
          <w:rFonts w:ascii="Verdana" w:eastAsia="Verdana" w:hAnsi="Verdana" w:cs="Verdana"/>
          <w:color w:val="000000"/>
        </w:rPr>
        <w:t xml:space="preserve"> Nagar, AIBEA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 S K </w:t>
      </w:r>
      <w:proofErr w:type="spellStart"/>
      <w:r>
        <w:rPr>
          <w:rFonts w:ascii="Verdana" w:eastAsia="Verdana" w:hAnsi="Verdana" w:cs="Verdana"/>
          <w:color w:val="000000"/>
        </w:rPr>
        <w:t>Bandlish</w:t>
      </w:r>
      <w:proofErr w:type="spellEnd"/>
      <w:r>
        <w:rPr>
          <w:rFonts w:ascii="Verdana" w:eastAsia="Verdana" w:hAnsi="Verdana" w:cs="Verdana"/>
          <w:color w:val="000000"/>
        </w:rPr>
        <w:t>, NCBE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 </w:t>
      </w:r>
      <w:proofErr w:type="spellStart"/>
      <w:r>
        <w:rPr>
          <w:rFonts w:ascii="Verdana" w:eastAsia="Verdana" w:hAnsi="Verdana" w:cs="Verdana"/>
          <w:color w:val="000000"/>
        </w:rPr>
        <w:t>Balaji</w:t>
      </w:r>
      <w:proofErr w:type="spellEnd"/>
      <w:r>
        <w:rPr>
          <w:rFonts w:ascii="Verdana" w:eastAsia="Verdana" w:hAnsi="Verdana" w:cs="Verdana"/>
          <w:color w:val="000000"/>
        </w:rPr>
        <w:t>, NCBE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 </w:t>
      </w:r>
      <w:proofErr w:type="spellStart"/>
      <w:r>
        <w:rPr>
          <w:rFonts w:ascii="Verdana" w:eastAsia="Verdana" w:hAnsi="Verdana" w:cs="Verdana"/>
          <w:color w:val="000000"/>
        </w:rPr>
        <w:t>Pradip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Biswas</w:t>
      </w:r>
      <w:proofErr w:type="spellEnd"/>
      <w:r>
        <w:rPr>
          <w:rFonts w:ascii="Verdana" w:eastAsia="Verdana" w:hAnsi="Verdana" w:cs="Verdana"/>
          <w:color w:val="000000"/>
        </w:rPr>
        <w:t>, BEFI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 </w:t>
      </w:r>
      <w:proofErr w:type="spellStart"/>
      <w:r>
        <w:rPr>
          <w:rFonts w:ascii="Verdana" w:eastAsia="Verdana" w:hAnsi="Verdana" w:cs="Verdana"/>
          <w:color w:val="000000"/>
        </w:rPr>
        <w:t>Subhash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Sawant</w:t>
      </w:r>
      <w:proofErr w:type="spellEnd"/>
      <w:r>
        <w:rPr>
          <w:rFonts w:ascii="Verdana" w:eastAsia="Verdana" w:hAnsi="Verdana" w:cs="Verdana"/>
          <w:color w:val="000000"/>
        </w:rPr>
        <w:t>, INBEF</w:t>
      </w:r>
    </w:p>
    <w:p w:rsidR="00F3227D" w:rsidRDefault="007B505B" w:rsidP="00A51424">
      <w:pPr>
        <w:spacing w:after="0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 </w:t>
      </w:r>
      <w:proofErr w:type="spellStart"/>
      <w:r>
        <w:rPr>
          <w:rFonts w:ascii="Verdana" w:eastAsia="Verdana" w:hAnsi="Verdana" w:cs="Verdana"/>
          <w:color w:val="000000"/>
        </w:rPr>
        <w:t>Upendrakumar</w:t>
      </w:r>
      <w:proofErr w:type="spellEnd"/>
      <w:r>
        <w:rPr>
          <w:rFonts w:ascii="Verdana" w:eastAsia="Verdana" w:hAnsi="Verdana" w:cs="Verdana"/>
          <w:color w:val="000000"/>
        </w:rPr>
        <w:t xml:space="preserve">, NOBW. </w:t>
      </w:r>
    </w:p>
    <w:p w:rsidR="00F3227D" w:rsidRDefault="00F3227D" w:rsidP="00A51424">
      <w:pPr>
        <w:spacing w:after="0" w:line="240" w:lineRule="auto"/>
        <w:rPr>
          <w:rFonts w:ascii="Verdana" w:eastAsia="Verdana" w:hAnsi="Verdana" w:cs="Verdana"/>
          <w:color w:val="000000"/>
          <w:sz w:val="12"/>
          <w:szCs w:val="12"/>
        </w:rPr>
      </w:pPr>
    </w:p>
    <w:p w:rsidR="00F3227D" w:rsidRDefault="007B505B" w:rsidP="00A51424">
      <w:pPr>
        <w:spacing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The meeting took stock of the discussions held so far in the last 7 rounds of talks held between our Unions and the IBA’s Small Committee team and arrived at the following tentative understandings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:rsidR="00F3227D" w:rsidRDefault="00A51424" w:rsidP="00A51424">
      <w:pPr>
        <w:spacing w:line="240" w:lineRule="auto"/>
        <w:ind w:left="0" w:hanging="2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proofErr w:type="gramStart"/>
      <w:r w:rsidRPr="00A51424">
        <w:rPr>
          <w:rFonts w:ascii="Verdana" w:eastAsia="Verdana" w:hAnsi="Verdana" w:cs="Verdana"/>
          <w:b/>
          <w:color w:val="000000"/>
          <w:sz w:val="20"/>
          <w:szCs w:val="20"/>
        </w:rPr>
        <w:t>Contd</w:t>
      </w:r>
      <w:proofErr w:type="spellEnd"/>
      <w:r w:rsidRPr="00A51424">
        <w:rPr>
          <w:rFonts w:ascii="Verdana" w:eastAsia="Verdana" w:hAnsi="Verdana" w:cs="Verdana"/>
          <w:b/>
          <w:color w:val="000000"/>
          <w:sz w:val="20"/>
          <w:szCs w:val="20"/>
        </w:rPr>
        <w:t>….2.</w:t>
      </w:r>
      <w:proofErr w:type="gramEnd"/>
    </w:p>
    <w:p w:rsidR="00A51424" w:rsidRPr="00A51424" w:rsidRDefault="00A51424" w:rsidP="00A51424">
      <w:pPr>
        <w:pStyle w:val="Normal4"/>
        <w:jc w:val="center"/>
        <w:rPr>
          <w:rFonts w:ascii="Verdana" w:hAnsi="Verdana"/>
          <w:b/>
          <w:sz w:val="20"/>
          <w:szCs w:val="20"/>
        </w:rPr>
      </w:pPr>
      <w:r w:rsidRPr="00A51424">
        <w:rPr>
          <w:rFonts w:ascii="Verdana" w:hAnsi="Verdana"/>
          <w:b/>
          <w:sz w:val="20"/>
          <w:szCs w:val="20"/>
        </w:rPr>
        <w:lastRenderedPageBreak/>
        <w:t>Page No. 2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Settlement will be effective from 1-11-2017.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Settlement w</w:t>
      </w:r>
      <w:r>
        <w:rPr>
          <w:rFonts w:ascii="Verdana" w:eastAsia="Verdana" w:hAnsi="Verdana" w:cs="Verdana"/>
          <w:color w:val="000000"/>
        </w:rPr>
        <w:t>ill cover 37 Banks (20 PSBs, 10 Private Banks and 7 Foreign Banks). Mandate to be received from IDBI Bank, Catholic Syrian Bank and Royal Bank of Scotland.</w:t>
      </w:r>
    </w:p>
    <w:p w:rsidR="00F3227D" w:rsidRDefault="00F3227D" w:rsidP="00A51424">
      <w:pPr>
        <w:spacing w:line="240" w:lineRule="auto"/>
        <w:ind w:left="-2" w:firstLine="0"/>
        <w:rPr>
          <w:rFonts w:ascii="Verdana" w:eastAsia="Verdana" w:hAnsi="Verdana" w:cs="Verdana"/>
          <w:color w:val="000000"/>
          <w:sz w:val="2"/>
          <w:szCs w:val="2"/>
        </w:rPr>
      </w:pP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When an employee is transferred from one station to another, instead of normal HRA, he/she will be </w:t>
      </w:r>
      <w:r>
        <w:rPr>
          <w:rFonts w:ascii="Verdana" w:eastAsia="Verdana" w:hAnsi="Verdana" w:cs="Verdana"/>
          <w:color w:val="000000"/>
        </w:rPr>
        <w:t>paid HRA on Rent Receipt basis. Suitable ceilings will be prescribed.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Branches located in Special Economic Zone/EPZ, etc. to be paid HRA at par with Project Areas.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Notice period for availing Privilege Leave (other than for LFC) will stand reduced to 10 days.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Privilege leave taken on sick grounds when there is </w:t>
      </w:r>
      <w:proofErr w:type="gramStart"/>
      <w:r>
        <w:rPr>
          <w:rFonts w:ascii="Verdana" w:eastAsia="Verdana" w:hAnsi="Verdana" w:cs="Verdana"/>
          <w:color w:val="000000"/>
        </w:rPr>
        <w:t>no sick leave will not be counted as an occasion of availing PL.</w:t>
      </w:r>
      <w:proofErr w:type="gramEnd"/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Beyond 30 years of service, additional sick </w:t>
      </w:r>
      <w:r>
        <w:rPr>
          <w:rFonts w:ascii="Verdana" w:eastAsia="Verdana" w:hAnsi="Verdana" w:cs="Verdana"/>
          <w:color w:val="000000"/>
        </w:rPr>
        <w:t xml:space="preserve">leave will be granted at 1 month per year subject to a max. </w:t>
      </w:r>
      <w:proofErr w:type="gramStart"/>
      <w:r>
        <w:rPr>
          <w:rFonts w:ascii="Verdana" w:eastAsia="Verdana" w:hAnsi="Verdana" w:cs="Verdana"/>
          <w:color w:val="000000"/>
        </w:rPr>
        <w:t>of</w:t>
      </w:r>
      <w:proofErr w:type="gramEnd"/>
      <w:r>
        <w:rPr>
          <w:rFonts w:ascii="Verdana" w:eastAsia="Verdana" w:hAnsi="Verdana" w:cs="Verdana"/>
          <w:color w:val="000000"/>
        </w:rPr>
        <w:t xml:space="preserve"> 720 days in entire service. (</w:t>
      </w:r>
      <w:proofErr w:type="gramStart"/>
      <w:r>
        <w:rPr>
          <w:rFonts w:ascii="Verdana" w:eastAsia="Verdana" w:hAnsi="Verdana" w:cs="Verdana"/>
          <w:color w:val="000000"/>
        </w:rPr>
        <w:t>it</w:t>
      </w:r>
      <w:proofErr w:type="gramEnd"/>
      <w:r>
        <w:rPr>
          <w:rFonts w:ascii="Verdana" w:eastAsia="Verdana" w:hAnsi="Verdana" w:cs="Verdana"/>
          <w:color w:val="000000"/>
        </w:rPr>
        <w:t xml:space="preserve"> is 630 days now) i.e. 3 months additional sick leave.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Women employees can avail sick leave for the sickness of their children (up to 8 years of age) on productio</w:t>
      </w:r>
      <w:r>
        <w:rPr>
          <w:rFonts w:ascii="Verdana" w:eastAsia="Verdana" w:hAnsi="Verdana" w:cs="Verdana"/>
          <w:color w:val="000000"/>
        </w:rPr>
        <w:t>n of medical certificate.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Extra ordinary Leave on loss of pay can be availed for 120 days at a time (it is 90 days now).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Maternity Leave can be availed in combination/continuation with other kind of leave.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Medical Bills for Maternity can be given after joi</w:t>
      </w:r>
      <w:r>
        <w:rPr>
          <w:rFonts w:ascii="Verdana" w:eastAsia="Verdana" w:hAnsi="Verdana" w:cs="Verdana"/>
          <w:color w:val="000000"/>
        </w:rPr>
        <w:t>ning the Bank after availing ML irrespective of period.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2 months leave with salary will be granted for Hysterectomy where ML limit is exhausted.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Paternity Leave can be sanctioned even in case of child adoption.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Absence from office due to curfew, riots, pro</w:t>
      </w:r>
      <w:r>
        <w:rPr>
          <w:rFonts w:ascii="Verdana" w:eastAsia="Verdana" w:hAnsi="Verdana" w:cs="Verdana"/>
          <w:color w:val="000000"/>
        </w:rPr>
        <w:t>hibitory orders, natural calamities, flood, etc. will be treated as special leave on duty.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LFC: permissible Distance will be revised as 2200 km/4400 km for non-</w:t>
      </w:r>
      <w:proofErr w:type="spellStart"/>
      <w:r>
        <w:rPr>
          <w:rFonts w:ascii="Verdana" w:eastAsia="Verdana" w:hAnsi="Verdana" w:cs="Verdana"/>
          <w:color w:val="000000"/>
        </w:rPr>
        <w:t>substaff</w:t>
      </w:r>
      <w:proofErr w:type="spellEnd"/>
      <w:r>
        <w:rPr>
          <w:rFonts w:ascii="Verdana" w:eastAsia="Verdana" w:hAnsi="Verdana" w:cs="Verdana"/>
          <w:color w:val="000000"/>
        </w:rPr>
        <w:t xml:space="preserve"> and 2600 km/5200 km for sub staff (only for actual travel and not for encashment).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Road</w:t>
      </w:r>
      <w:r>
        <w:rPr>
          <w:rFonts w:ascii="Verdana" w:eastAsia="Verdana" w:hAnsi="Verdana" w:cs="Verdana"/>
          <w:color w:val="000000"/>
        </w:rPr>
        <w:t xml:space="preserve"> Mileage charges will be revised from Rs. 6 per km to Rs. 8 per km.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Train fare by </w:t>
      </w:r>
      <w:proofErr w:type="spellStart"/>
      <w:r>
        <w:rPr>
          <w:rFonts w:ascii="Verdana" w:eastAsia="Verdana" w:hAnsi="Verdana" w:cs="Verdana"/>
          <w:color w:val="000000"/>
        </w:rPr>
        <w:t>Shatabdi</w:t>
      </w:r>
      <w:proofErr w:type="spellEnd"/>
      <w:r>
        <w:rPr>
          <w:rFonts w:ascii="Verdana" w:eastAsia="Verdana" w:hAnsi="Verdana" w:cs="Verdana"/>
          <w:color w:val="000000"/>
        </w:rPr>
        <w:t xml:space="preserve"> and </w:t>
      </w:r>
      <w:proofErr w:type="spellStart"/>
      <w:r>
        <w:rPr>
          <w:rFonts w:ascii="Verdana" w:eastAsia="Verdana" w:hAnsi="Verdana" w:cs="Verdana"/>
          <w:color w:val="000000"/>
        </w:rPr>
        <w:t>Rajdhani</w:t>
      </w:r>
      <w:proofErr w:type="spellEnd"/>
      <w:r>
        <w:rPr>
          <w:rFonts w:ascii="Verdana" w:eastAsia="Verdana" w:hAnsi="Verdana" w:cs="Verdana"/>
          <w:color w:val="000000"/>
        </w:rPr>
        <w:t xml:space="preserve"> express trains (non-Executive Class) will be reimbursed under LFC if travel is undertaken by these trains.                                     (For encashment, existing rules will continue).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Charges for local sightseeing</w:t>
      </w:r>
      <w:r>
        <w:rPr>
          <w:rFonts w:ascii="Verdana" w:eastAsia="Verdana" w:hAnsi="Verdana" w:cs="Verdana"/>
          <w:color w:val="000000"/>
        </w:rPr>
        <w:t xml:space="preserve"> while on LFC will be reimbursed within the entitlement on production of bills from approval operators.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GST charges on train fare will be reimbursed.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For employees working in North East States, LFC will begin from </w:t>
      </w:r>
      <w:proofErr w:type="spellStart"/>
      <w:r>
        <w:rPr>
          <w:rFonts w:ascii="Verdana" w:eastAsia="Verdana" w:hAnsi="Verdana" w:cs="Verdana"/>
          <w:color w:val="000000"/>
        </w:rPr>
        <w:t>Guwahati</w:t>
      </w:r>
      <w:proofErr w:type="spellEnd"/>
      <w:r>
        <w:rPr>
          <w:rFonts w:ascii="Verdana" w:eastAsia="Verdana" w:hAnsi="Verdana" w:cs="Verdana"/>
          <w:color w:val="000000"/>
        </w:rPr>
        <w:t xml:space="preserve"> and the fare from their place of </w:t>
      </w:r>
      <w:r>
        <w:rPr>
          <w:rFonts w:ascii="Verdana" w:eastAsia="Verdana" w:hAnsi="Verdana" w:cs="Verdana"/>
          <w:color w:val="000000"/>
        </w:rPr>
        <w:t xml:space="preserve">work to </w:t>
      </w:r>
      <w:proofErr w:type="spellStart"/>
      <w:r>
        <w:rPr>
          <w:rFonts w:ascii="Verdana" w:eastAsia="Verdana" w:hAnsi="Verdana" w:cs="Verdana"/>
          <w:color w:val="000000"/>
        </w:rPr>
        <w:t>Guwahati</w:t>
      </w:r>
      <w:proofErr w:type="spellEnd"/>
      <w:r>
        <w:rPr>
          <w:rFonts w:ascii="Verdana" w:eastAsia="Verdana" w:hAnsi="Verdana" w:cs="Verdana"/>
          <w:color w:val="000000"/>
        </w:rPr>
        <w:t xml:space="preserve"> will be additionally paid. Similarly, Andaman Nicobar islands to Chennai/Kolkata, Lakshadweep to Kochi, far-flung area branches in Himalayas and J &amp; K to nearest major railway station will be additionally reimbursed under LFC in addition t</w:t>
      </w:r>
      <w:r>
        <w:rPr>
          <w:rFonts w:ascii="Verdana" w:eastAsia="Verdana" w:hAnsi="Verdana" w:cs="Verdana"/>
          <w:color w:val="000000"/>
        </w:rPr>
        <w:t>o normal entitlement.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For actual travel under LFC, train fare under dynamic fare system as on the date of booking of tickets will be reimbursed. 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One more option will be given to choose between 2 years block </w:t>
      </w:r>
      <w:proofErr w:type="gramStart"/>
      <w:r>
        <w:rPr>
          <w:rFonts w:ascii="Verdana" w:eastAsia="Verdana" w:hAnsi="Verdana" w:cs="Verdana"/>
          <w:color w:val="000000"/>
        </w:rPr>
        <w:t>or</w:t>
      </w:r>
      <w:proofErr w:type="gramEnd"/>
      <w:r>
        <w:rPr>
          <w:rFonts w:ascii="Verdana" w:eastAsia="Verdana" w:hAnsi="Verdana" w:cs="Verdana"/>
          <w:color w:val="000000"/>
        </w:rPr>
        <w:t xml:space="preserve"> 4 years block.</w:t>
      </w:r>
    </w:p>
    <w:p w:rsidR="00F3227D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Income criteria for definition</w:t>
      </w:r>
      <w:r>
        <w:rPr>
          <w:rFonts w:ascii="Verdana" w:eastAsia="Verdana" w:hAnsi="Verdana" w:cs="Verdana"/>
          <w:color w:val="000000"/>
        </w:rPr>
        <w:t xml:space="preserve"> of dependents will be revised from Rs. 10,000 to Rs. 12,000</w:t>
      </w:r>
    </w:p>
    <w:p w:rsidR="00A51424" w:rsidRDefault="00A51424" w:rsidP="00A51424">
      <w:pPr>
        <w:pStyle w:val="Normal4"/>
        <w:jc w:val="right"/>
        <w:rPr>
          <w:rFonts w:ascii="Verdana" w:hAnsi="Verdana"/>
          <w:b/>
          <w:sz w:val="20"/>
          <w:szCs w:val="20"/>
        </w:rPr>
      </w:pPr>
      <w:proofErr w:type="spellStart"/>
      <w:r w:rsidRPr="00A51424">
        <w:rPr>
          <w:rFonts w:ascii="Verdana" w:hAnsi="Verdana"/>
          <w:b/>
          <w:sz w:val="20"/>
          <w:szCs w:val="20"/>
        </w:rPr>
        <w:t>Contd</w:t>
      </w:r>
      <w:proofErr w:type="spellEnd"/>
      <w:r w:rsidRPr="00A51424">
        <w:rPr>
          <w:rFonts w:ascii="Verdana" w:hAnsi="Verdana"/>
          <w:b/>
          <w:sz w:val="20"/>
          <w:szCs w:val="20"/>
        </w:rPr>
        <w:t>…3</w:t>
      </w:r>
    </w:p>
    <w:p w:rsidR="00A51424" w:rsidRPr="00A51424" w:rsidRDefault="00A51424" w:rsidP="00A51424">
      <w:pPr>
        <w:pStyle w:val="Normal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Page No. 3</w:t>
      </w:r>
    </w:p>
    <w:p w:rsidR="00F3227D" w:rsidRPr="00A51424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Employees removed from service under Voluntary Cessation Scheme will be eligible for retirement benefits including pension, if otherwise eligible.</w:t>
      </w:r>
    </w:p>
    <w:p w:rsidR="00F3227D" w:rsidRPr="00A51424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Employees removed from service under Voluntary C</w:t>
      </w:r>
      <w:r w:rsidRPr="00A51424">
        <w:rPr>
          <w:rFonts w:ascii="Verdana" w:eastAsia="Verdana" w:hAnsi="Verdana" w:cs="Verdana"/>
          <w:color w:val="000000"/>
          <w:sz w:val="20"/>
          <w:szCs w:val="20"/>
        </w:rPr>
        <w:t>essation Scheme will be given the chance to represent against the decision.</w:t>
      </w:r>
    </w:p>
    <w:p w:rsidR="00F3227D" w:rsidRPr="00A51424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Facility of Crèche for children of women bank employees will be examined in the light of Government guidelines.</w:t>
      </w:r>
    </w:p>
    <w:p w:rsidR="00F3227D" w:rsidRPr="00A51424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For employees transferred out of station under Deployment policy, th</w:t>
      </w:r>
      <w:r w:rsidRPr="00A51424">
        <w:rPr>
          <w:rFonts w:ascii="Verdana" w:eastAsia="Verdana" w:hAnsi="Verdana" w:cs="Verdana"/>
          <w:color w:val="000000"/>
          <w:sz w:val="20"/>
          <w:szCs w:val="20"/>
        </w:rPr>
        <w:t>e compensation amount will be revised from Rs. 400 to Rs. 600 per month.</w:t>
      </w:r>
    </w:p>
    <w:p w:rsidR="00F3227D" w:rsidRPr="00A51424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When employees shift their personal effects while on transfer to another station, Breakage charges will be paid at Rs. 1650 for clerks and Rs. 1100 for sub staff ( on production of re</w:t>
      </w:r>
      <w:r w:rsidRPr="00A51424">
        <w:rPr>
          <w:rFonts w:ascii="Verdana" w:eastAsia="Verdana" w:hAnsi="Verdana" w:cs="Verdana"/>
          <w:color w:val="000000"/>
          <w:sz w:val="20"/>
          <w:szCs w:val="20"/>
        </w:rPr>
        <w:t>ceipt) or Rs. 1100 for clerks and Rs. 825 for sub staff (on Declaration basis).</w:t>
      </w:r>
    </w:p>
    <w:p w:rsidR="00F3227D" w:rsidRPr="00A51424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For definition of Family, physically/mentally challenged children of employees will continue to be treated as dependents even after their marriage subject to income criteria.</w:t>
      </w:r>
    </w:p>
    <w:p w:rsidR="00F3227D" w:rsidRPr="00A51424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R</w:t>
      </w:r>
      <w:r w:rsidRPr="00A51424">
        <w:rPr>
          <w:rFonts w:ascii="Verdana" w:eastAsia="Verdana" w:hAnsi="Verdana" w:cs="Verdana"/>
          <w:color w:val="000000"/>
          <w:sz w:val="20"/>
          <w:szCs w:val="20"/>
        </w:rPr>
        <w:t>evision/increase in Conveyance Allowance to Physically Challenged employees will be suitably recommended to the Government.</w:t>
      </w:r>
    </w:p>
    <w:p w:rsidR="00F3227D" w:rsidRPr="00A51424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Our demand for exemption of entire retirement benefits from the purview of Income Tax will be recommended to Government for their consideration.</w:t>
      </w:r>
    </w:p>
    <w:p w:rsidR="00F3227D" w:rsidRPr="00A51424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Service Charges under New Pension Scheme will not be recovered from the employees and will be paid by the Banks</w:t>
      </w:r>
      <w:r w:rsidRPr="00A51424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F3227D" w:rsidRPr="00A51424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When employees are sent to outstation for official duties, the rate of Diem Allowance/Halting Allowance will be increased after further discussions.</w:t>
      </w:r>
    </w:p>
    <w:p w:rsidR="00F3227D" w:rsidRPr="00A51424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Guidelines will be worked out for reimbursement of Hotel Rent in such occasions subject to certain agreed</w:t>
      </w:r>
      <w:r w:rsidRPr="00A51424">
        <w:rPr>
          <w:rFonts w:ascii="Verdana" w:eastAsia="Verdana" w:hAnsi="Verdana" w:cs="Verdana"/>
          <w:color w:val="000000"/>
          <w:sz w:val="20"/>
          <w:szCs w:val="20"/>
        </w:rPr>
        <w:t xml:space="preserve"> ceilings.</w:t>
      </w:r>
    </w:p>
    <w:p w:rsidR="00F3227D" w:rsidRPr="00A51424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Increase in Ex-Gratia amount payable to pre-1986 retirees/surviving spouse will be recommended to Government.</w:t>
      </w:r>
    </w:p>
    <w:p w:rsidR="00F3227D" w:rsidRPr="00A51424" w:rsidRDefault="007B505B" w:rsidP="00A51424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Other Allowances like Cycle Allowance, Washing Allowance, Split Duty Allowance, etc. will be increased by 15%.</w:t>
      </w:r>
    </w:p>
    <w:p w:rsidR="00F3227D" w:rsidRPr="00A51424" w:rsidRDefault="007B505B" w:rsidP="00A51424">
      <w:pPr>
        <w:spacing w:line="240" w:lineRule="auto"/>
        <w:ind w:leftChars="0" w:left="0" w:firstLineChars="0" w:firstLine="0"/>
        <w:rPr>
          <w:rFonts w:ascii="Verdana" w:eastAsia="Verdana" w:hAnsi="Verdana" w:cs="Verdana"/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b/>
          <w:color w:val="000000"/>
          <w:sz w:val="20"/>
          <w:szCs w:val="20"/>
        </w:rPr>
        <w:t xml:space="preserve">Issues to be discussed </w:t>
      </w:r>
      <w:r w:rsidRPr="00A51424">
        <w:rPr>
          <w:rFonts w:ascii="Verdana" w:eastAsia="Verdana" w:hAnsi="Verdana" w:cs="Verdana"/>
          <w:b/>
          <w:color w:val="000000"/>
          <w:sz w:val="20"/>
          <w:szCs w:val="20"/>
        </w:rPr>
        <w:t xml:space="preserve">further/to be </w:t>
      </w:r>
      <w:proofErr w:type="spellStart"/>
      <w:r w:rsidRPr="00A51424">
        <w:rPr>
          <w:rFonts w:ascii="Verdana" w:eastAsia="Verdana" w:hAnsi="Verdana" w:cs="Verdana"/>
          <w:b/>
          <w:color w:val="000000"/>
          <w:sz w:val="20"/>
          <w:szCs w:val="20"/>
        </w:rPr>
        <w:t>finalised</w:t>
      </w:r>
      <w:proofErr w:type="spellEnd"/>
      <w:r w:rsidRPr="00A51424"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Total quantum of increase in wages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Index point for merger of DA to work out the new Pay Scales.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Merger of Special Allowance with Basic Pay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Revised DA formula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Revision in Special Pay, FPP, PQP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 xml:space="preserve">Improvement in Stagnation increment 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In</w:t>
      </w:r>
      <w:r w:rsidRPr="00A51424">
        <w:rPr>
          <w:rFonts w:ascii="Verdana" w:eastAsia="Verdana" w:hAnsi="Verdana" w:cs="Verdana"/>
          <w:color w:val="000000"/>
          <w:sz w:val="20"/>
          <w:szCs w:val="20"/>
        </w:rPr>
        <w:t>crease in HRA,  Transport Allowance</w:t>
      </w:r>
    </w:p>
    <w:p w:rsidR="00A51424" w:rsidRPr="00A51424" w:rsidRDefault="00A51424" w:rsidP="00A51424">
      <w:pPr>
        <w:pStyle w:val="Normal4"/>
        <w:spacing w:after="0"/>
        <w:rPr>
          <w:sz w:val="20"/>
          <w:szCs w:val="20"/>
        </w:rPr>
      </w:pPr>
    </w:p>
    <w:p w:rsidR="00F3227D" w:rsidRPr="00A51424" w:rsidRDefault="007B505B" w:rsidP="00A51424">
      <w:pPr>
        <w:numPr>
          <w:ilvl w:val="0"/>
          <w:numId w:val="2"/>
        </w:numPr>
        <w:spacing w:after="0" w:line="240" w:lineRule="auto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Leave Bank system, Child Care Leave, Sabbatical Leave, Increase in Privilege leave /Encashment of PL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Increase in  Annual medical Aid and improvement in Medical Insurance Scheme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Improvement in formula for calculation of G</w:t>
      </w:r>
      <w:r w:rsidRPr="00A51424">
        <w:rPr>
          <w:rFonts w:ascii="Verdana" w:eastAsia="Verdana" w:hAnsi="Verdana" w:cs="Verdana"/>
          <w:color w:val="000000"/>
          <w:sz w:val="20"/>
          <w:szCs w:val="20"/>
        </w:rPr>
        <w:t>ratuity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Separate entitlement of LFC for husband and wife working in the same Bank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5 Day Banking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PF contribution @12%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North East Allowance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Improvement in formula for Family Pension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Periodical updated of Pension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DA linked Pension in lieu of NPS for new recruits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Bringing all categories of pensioners to common Index level of 11</w:t>
      </w:r>
      <w:r w:rsidRPr="00A51424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 w:rsidRPr="00A51424">
        <w:rPr>
          <w:rFonts w:ascii="Verdana" w:eastAsia="Verdana" w:hAnsi="Verdana" w:cs="Verdana"/>
          <w:color w:val="000000"/>
          <w:sz w:val="20"/>
          <w:szCs w:val="20"/>
        </w:rPr>
        <w:t xml:space="preserve"> BPS.</w:t>
      </w:r>
    </w:p>
    <w:p w:rsidR="00F3227D" w:rsidRPr="00A51424" w:rsidRDefault="007B505B" w:rsidP="00A51424">
      <w:pPr>
        <w:numPr>
          <w:ilvl w:val="0"/>
          <w:numId w:val="2"/>
        </w:numPr>
        <w:spacing w:after="0"/>
        <w:ind w:left="0" w:hanging="2"/>
        <w:rPr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Disciplinary Action procedures, punishments, etc.</w:t>
      </w:r>
    </w:p>
    <w:p w:rsidR="00F3227D" w:rsidRPr="00A51424" w:rsidRDefault="007B505B" w:rsidP="00A51424">
      <w:pP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Next round of meeting of the Full Negotiating Committee will be held by the first w</w:t>
      </w:r>
      <w:r w:rsidRPr="00A51424">
        <w:rPr>
          <w:rFonts w:ascii="Verdana" w:eastAsia="Verdana" w:hAnsi="Verdana" w:cs="Verdana"/>
          <w:color w:val="000000"/>
          <w:sz w:val="20"/>
          <w:szCs w:val="20"/>
        </w:rPr>
        <w:t>eek of September, 2018.  Further developments will be informed to members in due course.”</w:t>
      </w:r>
    </w:p>
    <w:p w:rsidR="00F3227D" w:rsidRPr="00A51424" w:rsidRDefault="00F3227D" w:rsidP="00A51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3227D" w:rsidRPr="00A51424" w:rsidRDefault="007B5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A51424">
        <w:rPr>
          <w:rFonts w:ascii="Verdana" w:eastAsia="Verdana" w:hAnsi="Verdana" w:cs="Verdana"/>
          <w:color w:val="000000"/>
          <w:sz w:val="20"/>
          <w:szCs w:val="20"/>
        </w:rPr>
        <w:t>------------------------------------------------------------------------------------------------------</w:t>
      </w:r>
    </w:p>
    <w:sectPr w:rsidR="00F3227D" w:rsidRPr="00A51424" w:rsidSect="00F3227D">
      <w:pgSz w:w="12240" w:h="20160"/>
      <w:pgMar w:top="864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CE5"/>
    <w:multiLevelType w:val="multilevel"/>
    <w:tmpl w:val="C6068570"/>
    <w:lvl w:ilvl="0">
      <w:start w:val="1"/>
      <w:numFmt w:val="bullet"/>
      <w:lvlText w:val="°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36923B8"/>
    <w:multiLevelType w:val="multilevel"/>
    <w:tmpl w:val="106A0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27D"/>
    <w:rsid w:val="007B505B"/>
    <w:rsid w:val="00A51424"/>
    <w:rsid w:val="00F3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4"/>
    <w:autoRedefine/>
    <w:hidden/>
    <w:qFormat/>
    <w:rsid w:val="0007199D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4"/>
    <w:next w:val="Normal4"/>
    <w:rsid w:val="000719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4"/>
    <w:next w:val="Normal4"/>
    <w:rsid w:val="000719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4"/>
    <w:next w:val="Normal4"/>
    <w:rsid w:val="000719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4"/>
    <w:next w:val="Normal4"/>
    <w:rsid w:val="000719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4"/>
    <w:next w:val="Normal4"/>
    <w:rsid w:val="0007199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4"/>
    <w:next w:val="Normal4"/>
    <w:rsid w:val="000719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227D"/>
  </w:style>
  <w:style w:type="paragraph" w:styleId="Title">
    <w:name w:val="Title"/>
    <w:basedOn w:val="Normal4"/>
    <w:next w:val="Normal4"/>
    <w:rsid w:val="0007199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7199D"/>
  </w:style>
  <w:style w:type="paragraph" w:customStyle="1" w:styleId="Normal2">
    <w:name w:val="Normal2"/>
    <w:rsid w:val="0007199D"/>
  </w:style>
  <w:style w:type="paragraph" w:customStyle="1" w:styleId="Normal3">
    <w:name w:val="Normal3"/>
    <w:rsid w:val="0007199D"/>
  </w:style>
  <w:style w:type="paragraph" w:customStyle="1" w:styleId="Normal4">
    <w:name w:val="Normal4"/>
    <w:rsid w:val="0007199D"/>
  </w:style>
  <w:style w:type="paragraph" w:styleId="BalloonText">
    <w:name w:val="Balloon Text"/>
    <w:basedOn w:val="Normal"/>
    <w:autoRedefine/>
    <w:hidden/>
    <w:qFormat/>
    <w:rsid w:val="0007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07199D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ormal5">
    <w:name w:val="Normal5"/>
    <w:autoRedefine/>
    <w:hidden/>
    <w:qFormat/>
    <w:rsid w:val="0007199D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en-IN"/>
    </w:rPr>
  </w:style>
  <w:style w:type="paragraph" w:styleId="Subtitle">
    <w:name w:val="Subtitle"/>
    <w:basedOn w:val="Normal"/>
    <w:next w:val="Normal"/>
    <w:rsid w:val="00F322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719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322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322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SARB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SBI</cp:lastModifiedBy>
  <cp:revision>2</cp:revision>
  <dcterms:created xsi:type="dcterms:W3CDTF">2018-08-21T10:11:00Z</dcterms:created>
  <dcterms:modified xsi:type="dcterms:W3CDTF">2018-08-21T10:21:00Z</dcterms:modified>
</cp:coreProperties>
</file>