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9D" w:rsidRDefault="000719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3"/>
        <w:gridCol w:w="4460"/>
        <w:gridCol w:w="3897"/>
      </w:tblGrid>
      <w:tr w:rsidR="0007199D">
        <w:trPr>
          <w:trHeight w:val="300"/>
          <w:jc w:val="center"/>
        </w:trPr>
        <w:tc>
          <w:tcPr>
            <w:tcW w:w="19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7199D" w:rsidRDefault="00730CE2">
            <w:pPr>
              <w:pStyle w:val="normal0"/>
              <w:spacing w:after="0" w:line="240" w:lineRule="auto"/>
              <w:ind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114300" distR="114300">
                  <wp:extent cx="1047115" cy="875030"/>
                  <wp:effectExtent l="0" t="0" r="0" b="0"/>
                  <wp:docPr id="1035" name="image3.png" descr="H:\NCBE Logo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:\NCBE Logo.t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875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7199D" w:rsidRDefault="00730CE2">
            <w:pPr>
              <w:pStyle w:val="normal0"/>
              <w:spacing w:after="0" w:line="240" w:lineRule="auto"/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Website:www.sbisabengalcircle.co.in</w:t>
            </w:r>
            <w:proofErr w:type="spellEnd"/>
          </w:p>
        </w:tc>
        <w:tc>
          <w:tcPr>
            <w:tcW w:w="38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7199D" w:rsidRDefault="00730CE2">
            <w:pPr>
              <w:pStyle w:val="normal0"/>
              <w:spacing w:after="0" w:line="240" w:lineRule="auto"/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Telephone No. 2248-6024(Union)</w:t>
            </w:r>
          </w:p>
          <w:p w:rsidR="0007199D" w:rsidRDefault="00730CE2">
            <w:pPr>
              <w:pStyle w:val="normal0"/>
              <w:spacing w:after="0" w:line="240" w:lineRule="auto"/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Tele Fax :         2248-7019(union)</w:t>
            </w:r>
          </w:p>
          <w:p w:rsidR="0007199D" w:rsidRDefault="00730CE2">
            <w:pPr>
              <w:pStyle w:val="normal0"/>
              <w:spacing w:after="0" w:line="240" w:lineRule="auto"/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Tele Fax :         2243-6729 (LHO)</w:t>
            </w:r>
          </w:p>
        </w:tc>
      </w:tr>
      <w:tr w:rsidR="0007199D">
        <w:trPr>
          <w:trHeight w:val="180"/>
          <w:jc w:val="center"/>
        </w:trPr>
        <w:tc>
          <w:tcPr>
            <w:tcW w:w="190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7199D" w:rsidRDefault="000719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7199D" w:rsidRDefault="00730CE2">
            <w:pPr>
              <w:pStyle w:val="normal0"/>
              <w:spacing w:after="0" w:line="240" w:lineRule="auto"/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Mobile No. 9836652055(G.S.)</w:t>
            </w:r>
          </w:p>
        </w:tc>
        <w:tc>
          <w:tcPr>
            <w:tcW w:w="389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7199D" w:rsidRDefault="000719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7199D">
        <w:trPr>
          <w:jc w:val="center"/>
        </w:trPr>
        <w:tc>
          <w:tcPr>
            <w:tcW w:w="190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7199D" w:rsidRDefault="000719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35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7199D" w:rsidRDefault="00730CE2">
            <w:pPr>
              <w:pStyle w:val="normal0"/>
              <w:spacing w:after="0" w:line="240" w:lineRule="auto"/>
              <w:ind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NATIONAL CONFEDERATION OF BANK EMPLOYEES</w:t>
            </w:r>
          </w:p>
          <w:p w:rsidR="0007199D" w:rsidRDefault="00730CE2">
            <w:pPr>
              <w:pStyle w:val="normal0"/>
              <w:spacing w:after="0" w:line="240" w:lineRule="auto"/>
              <w:ind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WEST BENGAL STATE FEDERATION)</w:t>
            </w:r>
          </w:p>
          <w:p w:rsidR="0007199D" w:rsidRDefault="00730CE2">
            <w:pPr>
              <w:pStyle w:val="normal0"/>
              <w:spacing w:after="0" w:line="240" w:lineRule="auto"/>
              <w:ind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(Registered under the Trade Union Act 1926: Registration No. B-2334)</w:t>
            </w:r>
          </w:p>
        </w:tc>
      </w:tr>
      <w:tr w:rsidR="0007199D">
        <w:trPr>
          <w:jc w:val="center"/>
        </w:trPr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7199D" w:rsidRDefault="00730CE2">
            <w:pPr>
              <w:pStyle w:val="normal0"/>
              <w:spacing w:after="0" w:line="240" w:lineRule="auto"/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All letters to be addressed to the General Secretary</w:t>
            </w:r>
          </w:p>
        </w:tc>
        <w:tc>
          <w:tcPr>
            <w:tcW w:w="83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7199D" w:rsidRDefault="00730CE2">
            <w:pPr>
              <w:pStyle w:val="normal0"/>
              <w:spacing w:after="0" w:line="240" w:lineRule="auto"/>
              <w:ind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“AJIT SEN BHAWAN”</w:t>
            </w:r>
          </w:p>
          <w:p w:rsidR="0007199D" w:rsidRDefault="00730CE2">
            <w:pPr>
              <w:pStyle w:val="normal0"/>
              <w:spacing w:after="0" w:line="240" w:lineRule="auto"/>
              <w:ind w:hanging="2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13, Crooked Lane (1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Floor)</w:t>
            </w:r>
          </w:p>
          <w:p w:rsidR="0007199D" w:rsidRDefault="00730CE2">
            <w:pPr>
              <w:pStyle w:val="normal0"/>
              <w:spacing w:after="0" w:line="240" w:lineRule="auto"/>
              <w:ind w:hanging="2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Kolkata – 700 069</w:t>
            </w:r>
          </w:p>
        </w:tc>
      </w:tr>
    </w:tbl>
    <w:p w:rsidR="0007199D" w:rsidRDefault="00730CE2">
      <w:pPr>
        <w:pStyle w:val="normal0"/>
        <w:spacing w:after="0" w:line="240" w:lineRule="auto"/>
        <w:ind w:hanging="2"/>
        <w:rPr>
          <w:rFonts w:ascii="Verdana" w:eastAsia="Verdana" w:hAnsi="Verdana" w:cs="Verdana"/>
          <w:sz w:val="20"/>
          <w:szCs w:val="20"/>
          <w:u w:val="single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  <w:u w:val="single"/>
        </w:rPr>
        <w:t>CIRCULAR NO.</w:t>
      </w:r>
      <w:proofErr w:type="gram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Verdana" w:eastAsia="Verdana" w:hAnsi="Verdana" w:cs="Verdana"/>
          <w:b/>
          <w:sz w:val="20"/>
          <w:szCs w:val="20"/>
          <w:u w:val="single"/>
        </w:rPr>
        <w:t>NCBE(</w:t>
      </w:r>
      <w:proofErr w:type="gramEnd"/>
      <w:r>
        <w:rPr>
          <w:rFonts w:ascii="Verdana" w:eastAsia="Verdana" w:hAnsi="Verdana" w:cs="Verdana"/>
          <w:b/>
          <w:sz w:val="20"/>
          <w:szCs w:val="20"/>
          <w:u w:val="single"/>
        </w:rPr>
        <w:t>WB)/5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8</w:t>
      </w:r>
      <w:r>
        <w:rPr>
          <w:rFonts w:ascii="Verdana" w:eastAsia="Verdana" w:hAnsi="Verdana" w:cs="Verdana"/>
          <w:sz w:val="20"/>
          <w:szCs w:val="20"/>
        </w:rPr>
        <w:t xml:space="preserve">        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TO ALL AFFILIATES/MEMBERS</w:t>
      </w:r>
      <w:r>
        <w:rPr>
          <w:rFonts w:ascii="Verdana" w:eastAsia="Verdana" w:hAnsi="Verdana" w:cs="Verdana"/>
          <w:b/>
          <w:sz w:val="20"/>
          <w:szCs w:val="20"/>
        </w:rPr>
        <w:t xml:space="preserve">         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DATE: 0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9.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08.2018</w:t>
      </w:r>
    </w:p>
    <w:p w:rsidR="0007199D" w:rsidRDefault="0007199D">
      <w:pPr>
        <w:pStyle w:val="normal0"/>
        <w:spacing w:after="0" w:line="240" w:lineRule="auto"/>
        <w:rPr>
          <w:rFonts w:ascii="Verdana" w:eastAsia="Verdana" w:hAnsi="Verdana" w:cs="Verdana"/>
        </w:rPr>
      </w:pPr>
    </w:p>
    <w:p w:rsidR="0007199D" w:rsidRDefault="00730CE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Dear Comrades,</w:t>
      </w:r>
    </w:p>
    <w:p w:rsidR="0007199D" w:rsidRDefault="000719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u w:val="single"/>
        </w:rPr>
      </w:pPr>
    </w:p>
    <w:p w:rsidR="0007199D" w:rsidRDefault="00040029" w:rsidP="00040029">
      <w:pPr>
        <w:pStyle w:val="normal1"/>
        <w:spacing w:line="360" w:lineRule="auto"/>
        <w:ind w:hanging="2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DISCUSSIONS </w:t>
      </w:r>
      <w:proofErr w:type="gramStart"/>
      <w:r>
        <w:rPr>
          <w:rFonts w:ascii="Verdana" w:eastAsia="Verdana" w:hAnsi="Verdana" w:cs="Verdana"/>
          <w:b/>
          <w:u w:val="single"/>
        </w:rPr>
        <w:t>WITH  IBA</w:t>
      </w:r>
      <w:proofErr w:type="gramEnd"/>
      <w:r>
        <w:rPr>
          <w:rFonts w:ascii="Verdana" w:eastAsia="Verdana" w:hAnsi="Verdana" w:cs="Verdana"/>
          <w:b/>
          <w:u w:val="single"/>
        </w:rPr>
        <w:t xml:space="preserve"> ON MEDICAL INSURANCE SCHEME</w:t>
      </w:r>
    </w:p>
    <w:p w:rsidR="0007199D" w:rsidRDefault="00730CE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We reproduce hereunder the text of Circular No.2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dated the 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color w:val="000000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August 2018   issued by Com.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Sanjeev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K.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Bandlish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, General Secretary, National Confederation of Bank Employees incorporated therein the UFBU Circular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No.UFBU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>/2018/1</w:t>
      </w:r>
      <w:r>
        <w:rPr>
          <w:rFonts w:ascii="Verdana" w:eastAsia="Verdana" w:hAnsi="Verdana" w:cs="Verdana"/>
          <w:sz w:val="24"/>
          <w:szCs w:val="24"/>
        </w:rPr>
        <w:t>4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dated the 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color w:val="000000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August, 2018 for information of all affiliates and members.  </w:t>
      </w:r>
    </w:p>
    <w:p w:rsidR="0007199D" w:rsidRDefault="00730CE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</w:t>
      </w:r>
    </w:p>
    <w:p w:rsidR="0007199D" w:rsidRDefault="00730CE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With revolu</w:t>
      </w:r>
      <w:r>
        <w:rPr>
          <w:rFonts w:ascii="Verdana" w:eastAsia="Verdana" w:hAnsi="Verdana" w:cs="Verdana"/>
          <w:color w:val="000000"/>
          <w:sz w:val="24"/>
          <w:szCs w:val="24"/>
        </w:rPr>
        <w:t>tionary greetings</w:t>
      </w:r>
      <w:r>
        <w:rPr>
          <w:rFonts w:ascii="Verdana" w:eastAsia="Verdana" w:hAnsi="Verdana" w:cs="Verdana"/>
          <w:color w:val="000000"/>
        </w:rPr>
        <w:t>,</w:t>
      </w:r>
    </w:p>
    <w:p w:rsidR="0007199D" w:rsidRDefault="0007199D">
      <w:pPr>
        <w:pStyle w:val="normal0"/>
        <w:spacing w:after="0" w:line="240" w:lineRule="auto"/>
        <w:rPr>
          <w:rFonts w:ascii="Verdana" w:eastAsia="Verdana" w:hAnsi="Verdana" w:cs="Verdana"/>
        </w:rPr>
      </w:pPr>
    </w:p>
    <w:p w:rsidR="0007199D" w:rsidRDefault="00730CE2">
      <w:pPr>
        <w:pStyle w:val="normal0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114300" distR="114300">
            <wp:extent cx="3253105" cy="607695"/>
            <wp:effectExtent l="0" t="0" r="0" b="0"/>
            <wp:docPr id="1036" name="image4.png" descr="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ignatur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607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199D" w:rsidRDefault="00730CE2">
      <w:pPr>
        <w:pStyle w:val="normal0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(SIDDHARTHA KHAN)</w:t>
      </w:r>
    </w:p>
    <w:p w:rsidR="0007199D" w:rsidRDefault="00730CE2">
      <w:pPr>
        <w:pStyle w:val="normal0"/>
        <w:spacing w:after="0"/>
        <w:ind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GENERAL SECRETARY</w:t>
      </w:r>
    </w:p>
    <w:p w:rsidR="0007199D" w:rsidRDefault="00730CE2">
      <w:pPr>
        <w:pStyle w:val="normal0"/>
        <w:spacing w:after="0"/>
        <w:ind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------------------------------------------------------------------------------------------</w:t>
      </w:r>
      <w:r>
        <w:rPr>
          <w:rFonts w:ascii="Verdana" w:eastAsia="Verdana" w:hAnsi="Verdana" w:cs="Verdana"/>
          <w:b/>
        </w:rPr>
        <w:t>------</w:t>
      </w:r>
      <w:r>
        <w:rPr>
          <w:rFonts w:ascii="Verdana" w:eastAsia="Verdana" w:hAnsi="Verdana" w:cs="Verdana"/>
        </w:rPr>
        <w:t xml:space="preserve">”As already informed to units, bipartite meeting was held today between IBA and UFBU regarding renewal of our Medical Insurance Policy for serving employees/ officers as well as for the retirees for the ensuing period 2018-19. IBA team was represented by </w:t>
      </w:r>
      <w:proofErr w:type="spellStart"/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>hri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Rajkumar</w:t>
      </w:r>
      <w:proofErr w:type="spellEnd"/>
      <w:r>
        <w:rPr>
          <w:rFonts w:ascii="Verdana" w:eastAsia="Verdana" w:hAnsi="Verdana" w:cs="Verdana"/>
        </w:rPr>
        <w:t xml:space="preserve">, Dy. Chief Executive, </w:t>
      </w:r>
      <w:proofErr w:type="spellStart"/>
      <w:r>
        <w:rPr>
          <w:rFonts w:ascii="Verdana" w:eastAsia="Verdana" w:hAnsi="Verdana" w:cs="Verdana"/>
        </w:rPr>
        <w:t>Shri</w:t>
      </w:r>
      <w:proofErr w:type="spellEnd"/>
      <w:r>
        <w:rPr>
          <w:rFonts w:ascii="Verdana" w:eastAsia="Verdana" w:hAnsi="Verdana" w:cs="Verdana"/>
        </w:rPr>
        <w:t xml:space="preserve"> S K </w:t>
      </w:r>
      <w:proofErr w:type="spellStart"/>
      <w:r>
        <w:rPr>
          <w:rFonts w:ascii="Verdana" w:eastAsia="Verdana" w:hAnsi="Verdana" w:cs="Verdana"/>
        </w:rPr>
        <w:t>Kakkar</w:t>
      </w:r>
      <w:proofErr w:type="spellEnd"/>
      <w:r>
        <w:rPr>
          <w:rFonts w:ascii="Verdana" w:eastAsia="Verdana" w:hAnsi="Verdana" w:cs="Verdana"/>
        </w:rPr>
        <w:t xml:space="preserve">, Sr. Advisor (HR&amp;IR), and </w:t>
      </w:r>
      <w:proofErr w:type="spellStart"/>
      <w:r>
        <w:rPr>
          <w:rFonts w:ascii="Verdana" w:eastAsia="Verdana" w:hAnsi="Verdana" w:cs="Verdana"/>
        </w:rPr>
        <w:t>Shri</w:t>
      </w:r>
      <w:proofErr w:type="spellEnd"/>
      <w:r>
        <w:rPr>
          <w:rFonts w:ascii="Verdana" w:eastAsia="Verdana" w:hAnsi="Verdana" w:cs="Verdana"/>
        </w:rPr>
        <w:t xml:space="preserve"> K S </w:t>
      </w:r>
      <w:proofErr w:type="spellStart"/>
      <w:r>
        <w:rPr>
          <w:rFonts w:ascii="Verdana" w:eastAsia="Verdana" w:hAnsi="Verdana" w:cs="Verdana"/>
        </w:rPr>
        <w:t>Chauhan</w:t>
      </w:r>
      <w:proofErr w:type="spellEnd"/>
      <w:r>
        <w:rPr>
          <w:rFonts w:ascii="Verdana" w:eastAsia="Verdana" w:hAnsi="Verdana" w:cs="Verdana"/>
        </w:rPr>
        <w:t>, Sr. Vice President (HR).  All our constituent unions were present in the meeting.</w:t>
      </w:r>
    </w:p>
    <w:p w:rsidR="0007199D" w:rsidRDefault="0007199D">
      <w:pPr>
        <w:pStyle w:val="normal0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07199D" w:rsidRDefault="00730CE2">
      <w:pPr>
        <w:pStyle w:val="normal0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IBA informed us that United India Insurance Co. has given their proposal for h</w:t>
      </w:r>
      <w:r>
        <w:rPr>
          <w:rFonts w:ascii="Verdana" w:eastAsia="Verdana" w:hAnsi="Verdana" w:cs="Verdana"/>
        </w:rPr>
        <w:t>ike in the premium on the Policies both for the serving employees/officers as well as for the retirees as under:</w:t>
      </w:r>
    </w:p>
    <w:p w:rsidR="0007199D" w:rsidRDefault="0007199D">
      <w:pPr>
        <w:pStyle w:val="normal0"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07199D" w:rsidRDefault="00730CE2">
      <w:pPr>
        <w:pStyle w:val="normal0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Serving employees/</w:t>
      </w:r>
      <w:proofErr w:type="gramStart"/>
      <w:r>
        <w:rPr>
          <w:rFonts w:ascii="Verdana" w:eastAsia="Verdana" w:hAnsi="Verdana" w:cs="Verdana"/>
        </w:rPr>
        <w:t>officers :</w:t>
      </w:r>
      <w:proofErr w:type="gramEnd"/>
      <w:r>
        <w:rPr>
          <w:rFonts w:ascii="Verdana" w:eastAsia="Verdana" w:hAnsi="Verdana" w:cs="Verdana"/>
        </w:rPr>
        <w:t xml:space="preserve">     Increase in premium by  29% over existing rate</w:t>
      </w:r>
    </w:p>
    <w:p w:rsidR="0007199D" w:rsidRDefault="0007199D">
      <w:pPr>
        <w:pStyle w:val="normal0"/>
        <w:spacing w:after="0" w:line="240" w:lineRule="auto"/>
        <w:jc w:val="both"/>
        <w:rPr>
          <w:rFonts w:ascii="Verdana" w:eastAsia="Verdana" w:hAnsi="Verdana" w:cs="Verdana"/>
          <w:sz w:val="10"/>
          <w:szCs w:val="10"/>
        </w:rPr>
      </w:pPr>
    </w:p>
    <w:p w:rsidR="0007199D" w:rsidRDefault="00730CE2">
      <w:pPr>
        <w:pStyle w:val="normal0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Retirees</w:t>
      </w:r>
      <w:r w:rsidR="00040029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(without Domiciliary</w:t>
      </w:r>
      <w:proofErr w:type="gramStart"/>
      <w:r>
        <w:rPr>
          <w:rFonts w:ascii="Verdana" w:eastAsia="Verdana" w:hAnsi="Verdana" w:cs="Verdana"/>
        </w:rPr>
        <w:t>) :</w:t>
      </w:r>
      <w:proofErr w:type="gramEnd"/>
      <w:r>
        <w:rPr>
          <w:rFonts w:ascii="Verdana" w:eastAsia="Verdana" w:hAnsi="Verdana" w:cs="Verdana"/>
        </w:rPr>
        <w:t xml:space="preserve">  Increase in premium by 110% </w:t>
      </w:r>
      <w:r>
        <w:rPr>
          <w:rFonts w:ascii="Verdana" w:eastAsia="Verdana" w:hAnsi="Verdana" w:cs="Verdana"/>
        </w:rPr>
        <w:t>over existing rate</w:t>
      </w:r>
    </w:p>
    <w:p w:rsidR="0007199D" w:rsidRDefault="0007199D">
      <w:pPr>
        <w:pStyle w:val="normal0"/>
        <w:spacing w:after="0" w:line="240" w:lineRule="auto"/>
        <w:jc w:val="both"/>
        <w:rPr>
          <w:rFonts w:ascii="Verdana" w:eastAsia="Verdana" w:hAnsi="Verdana" w:cs="Verdana"/>
          <w:sz w:val="10"/>
          <w:szCs w:val="10"/>
        </w:rPr>
      </w:pPr>
    </w:p>
    <w:p w:rsidR="0007199D" w:rsidRDefault="00730CE2">
      <w:pPr>
        <w:pStyle w:val="normal0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Retirees (with Domiciliary</w:t>
      </w:r>
      <w:proofErr w:type="gramStart"/>
      <w:r>
        <w:rPr>
          <w:rFonts w:ascii="Verdana" w:eastAsia="Verdana" w:hAnsi="Verdana" w:cs="Verdana"/>
        </w:rPr>
        <w:t>) :</w:t>
      </w:r>
      <w:proofErr w:type="gramEnd"/>
      <w:r>
        <w:rPr>
          <w:rFonts w:ascii="Verdana" w:eastAsia="Verdana" w:hAnsi="Verdana" w:cs="Verdana"/>
        </w:rPr>
        <w:t xml:space="preserve">      Increase in premium by 144% over existing rate</w:t>
      </w:r>
    </w:p>
    <w:p w:rsidR="0007199D" w:rsidRDefault="0007199D">
      <w:pPr>
        <w:pStyle w:val="normal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07199D" w:rsidRDefault="00730CE2">
      <w:pPr>
        <w:pStyle w:val="normal0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 strongly objected to such steep hike in the rate of premium and informed the IBA that especially the hike in premium for the retirees is too exorbitan</w:t>
      </w:r>
      <w:r>
        <w:rPr>
          <w:rFonts w:ascii="Verdana" w:eastAsia="Verdana" w:hAnsi="Verdana" w:cs="Verdana"/>
        </w:rPr>
        <w:t>t and not appearing to be relatable to actual claim ratio.  We urged upon the IBA to take up with UIIC to drastically reduce the premium.</w:t>
      </w:r>
    </w:p>
    <w:p w:rsidR="0007199D" w:rsidRDefault="0007199D">
      <w:pPr>
        <w:pStyle w:val="normal0"/>
        <w:spacing w:after="0" w:line="240" w:lineRule="auto"/>
        <w:jc w:val="both"/>
        <w:rPr>
          <w:rFonts w:ascii="Verdana" w:eastAsia="Verdana" w:hAnsi="Verdana" w:cs="Verdana"/>
        </w:rPr>
      </w:pPr>
    </w:p>
    <w:p w:rsidR="0007199D" w:rsidRDefault="00730CE2">
      <w:pPr>
        <w:pStyle w:val="normal0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IBA informed us that they are already seized of the issue and the matter is being taken up with UIIC.  We pointed out</w:t>
      </w:r>
      <w:r>
        <w:rPr>
          <w:rFonts w:ascii="Verdana" w:eastAsia="Verdana" w:hAnsi="Verdana" w:cs="Verdana"/>
        </w:rPr>
        <w:t xml:space="preserve"> that the following points be kept in mind while finalizing the issue:</w:t>
      </w:r>
    </w:p>
    <w:p w:rsidR="0007199D" w:rsidRDefault="0007199D">
      <w:pPr>
        <w:pStyle w:val="normal0"/>
        <w:spacing w:after="0" w:line="240" w:lineRule="auto"/>
        <w:jc w:val="both"/>
        <w:rPr>
          <w:rFonts w:ascii="Verdana" w:eastAsia="Verdana" w:hAnsi="Verdana" w:cs="Verdana"/>
          <w:sz w:val="12"/>
          <w:szCs w:val="12"/>
        </w:rPr>
      </w:pPr>
    </w:p>
    <w:p w:rsidR="0007199D" w:rsidRDefault="00730CE2">
      <w:pPr>
        <w:pStyle w:val="normal0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Verdana" w:eastAsia="Verdana" w:hAnsi="Verdana" w:cs="Verdana"/>
        </w:rPr>
        <w:t>There should be no attempt to discontinue the policy.  Policy should be continued and renewed.</w:t>
      </w:r>
    </w:p>
    <w:p w:rsidR="0007199D" w:rsidRDefault="00730CE2">
      <w:pPr>
        <w:pStyle w:val="normal0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Verdana" w:eastAsia="Verdana" w:hAnsi="Verdana" w:cs="Verdana"/>
        </w:rPr>
        <w:t>The premium rates should be drastically revised downwards.</w:t>
      </w:r>
    </w:p>
    <w:p w:rsidR="0007199D" w:rsidRDefault="00730CE2">
      <w:pPr>
        <w:pStyle w:val="normal0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Verdana" w:eastAsia="Verdana" w:hAnsi="Verdana" w:cs="Verdana"/>
        </w:rPr>
        <w:t xml:space="preserve">Pending discussion with UIIC, </w:t>
      </w:r>
      <w:r>
        <w:rPr>
          <w:rFonts w:ascii="Verdana" w:eastAsia="Verdana" w:hAnsi="Verdana" w:cs="Verdana"/>
        </w:rPr>
        <w:t xml:space="preserve">the Policy for both serving employees and retirees should be extended </w:t>
      </w:r>
      <w:proofErr w:type="spellStart"/>
      <w:r>
        <w:rPr>
          <w:rFonts w:ascii="Verdana" w:eastAsia="Verdana" w:hAnsi="Verdana" w:cs="Verdana"/>
        </w:rPr>
        <w:t>upto</w:t>
      </w:r>
      <w:proofErr w:type="spellEnd"/>
      <w:r>
        <w:rPr>
          <w:rFonts w:ascii="Verdana" w:eastAsia="Verdana" w:hAnsi="Verdana" w:cs="Verdana"/>
        </w:rPr>
        <w:t xml:space="preserve"> 31-12-2018 with pro rata premium.</w:t>
      </w:r>
    </w:p>
    <w:p w:rsidR="00040029" w:rsidRDefault="00730CE2" w:rsidP="00040029">
      <w:pPr>
        <w:pStyle w:val="normal0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Verdana" w:eastAsia="Verdana" w:hAnsi="Verdana" w:cs="Verdana"/>
        </w:rPr>
        <w:t>Cost of upfront payment of annual premium should be factored in while finalizing the premium rate.</w:t>
      </w:r>
    </w:p>
    <w:p w:rsidR="00040029" w:rsidRDefault="00040029" w:rsidP="00040029">
      <w:pPr>
        <w:pStyle w:val="normal0"/>
        <w:spacing w:after="120" w:line="240" w:lineRule="auto"/>
        <w:ind w:left="714"/>
        <w:jc w:val="both"/>
      </w:pPr>
    </w:p>
    <w:p w:rsidR="00040029" w:rsidRPr="00040029" w:rsidRDefault="00040029" w:rsidP="00040029">
      <w:pPr>
        <w:pStyle w:val="normal0"/>
        <w:spacing w:after="120" w:line="240" w:lineRule="auto"/>
        <w:ind w:left="714"/>
        <w:jc w:val="both"/>
      </w:pPr>
    </w:p>
    <w:p w:rsidR="00040029" w:rsidRDefault="00040029" w:rsidP="00040029">
      <w:pPr>
        <w:pStyle w:val="normal0"/>
        <w:spacing w:after="120" w:line="240" w:lineRule="auto"/>
        <w:jc w:val="right"/>
        <w:rPr>
          <w:rFonts w:ascii="Verdana" w:hAnsi="Verdana"/>
          <w:b/>
        </w:rPr>
      </w:pPr>
      <w:proofErr w:type="spellStart"/>
      <w:r w:rsidRPr="00040029">
        <w:rPr>
          <w:rFonts w:ascii="Verdana" w:hAnsi="Verdana"/>
          <w:b/>
        </w:rPr>
        <w:t>Contd</w:t>
      </w:r>
      <w:proofErr w:type="spellEnd"/>
      <w:r w:rsidRPr="00040029">
        <w:rPr>
          <w:rFonts w:ascii="Verdana" w:hAnsi="Verdana"/>
          <w:b/>
        </w:rPr>
        <w:t>….2</w:t>
      </w:r>
    </w:p>
    <w:p w:rsidR="00040029" w:rsidRDefault="00040029" w:rsidP="00040029">
      <w:pPr>
        <w:pStyle w:val="normal0"/>
        <w:spacing w:after="120" w:line="240" w:lineRule="auto"/>
        <w:rPr>
          <w:rFonts w:ascii="Verdana" w:hAnsi="Verdana"/>
          <w:b/>
        </w:rPr>
      </w:pPr>
    </w:p>
    <w:p w:rsidR="00040029" w:rsidRDefault="00040029" w:rsidP="00040029">
      <w:pPr>
        <w:pStyle w:val="normal0"/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Page No. 2</w:t>
      </w:r>
    </w:p>
    <w:p w:rsidR="00040029" w:rsidRPr="00040029" w:rsidRDefault="00040029" w:rsidP="00040029">
      <w:pPr>
        <w:pStyle w:val="normal0"/>
        <w:spacing w:after="120" w:line="240" w:lineRule="auto"/>
        <w:rPr>
          <w:rFonts w:ascii="Verdana" w:hAnsi="Verdana"/>
          <w:b/>
        </w:rPr>
      </w:pPr>
    </w:p>
    <w:p w:rsidR="0007199D" w:rsidRDefault="00730CE2">
      <w:pPr>
        <w:pStyle w:val="normal0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Verdana" w:eastAsia="Verdana" w:hAnsi="Verdana" w:cs="Verdana"/>
        </w:rPr>
        <w:t>Change in age profile of serving employees and retirees should be taken into account while working out the revised premium rates.</w:t>
      </w:r>
    </w:p>
    <w:p w:rsidR="0007199D" w:rsidRDefault="00730CE2">
      <w:pPr>
        <w:pStyle w:val="normal0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Verdana" w:eastAsia="Verdana" w:hAnsi="Verdana" w:cs="Verdana"/>
        </w:rPr>
        <w:t>IBA should take up with the Government for exemption of GST on premium amount.</w:t>
      </w:r>
    </w:p>
    <w:p w:rsidR="0007199D" w:rsidRDefault="00730CE2">
      <w:pPr>
        <w:pStyle w:val="normal0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Verdana" w:eastAsia="Verdana" w:hAnsi="Verdana" w:cs="Verdana"/>
        </w:rPr>
        <w:t xml:space="preserve">Renewed Policy should include a penalty clause </w:t>
      </w:r>
      <w:r>
        <w:rPr>
          <w:rFonts w:ascii="Verdana" w:eastAsia="Verdana" w:hAnsi="Verdana" w:cs="Verdana"/>
        </w:rPr>
        <w:t>for delayed sanction of bills/ reimbursement.</w:t>
      </w:r>
    </w:p>
    <w:p w:rsidR="0007199D" w:rsidRDefault="00730CE2">
      <w:pPr>
        <w:pStyle w:val="normal0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Verdana" w:eastAsia="Verdana" w:hAnsi="Verdana" w:cs="Verdana"/>
        </w:rPr>
        <w:t>If broker will not be involved in the scheme, suitable mechanism should be put in place to deal with cases of repudiation of claims, etc.</w:t>
      </w:r>
    </w:p>
    <w:p w:rsidR="0007199D" w:rsidRDefault="00730CE2">
      <w:pPr>
        <w:pStyle w:val="normal0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Verdana" w:eastAsia="Verdana" w:hAnsi="Verdana" w:cs="Verdana"/>
        </w:rPr>
        <w:t>Uniform guidelines should be given by IBA for sanction of amount under B</w:t>
      </w:r>
      <w:r>
        <w:rPr>
          <w:rFonts w:ascii="Verdana" w:eastAsia="Verdana" w:hAnsi="Verdana" w:cs="Verdana"/>
        </w:rPr>
        <w:t>uffer allocation.</w:t>
      </w:r>
    </w:p>
    <w:p w:rsidR="0007199D" w:rsidRDefault="00730CE2">
      <w:pPr>
        <w:pStyle w:val="normal0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Verdana" w:eastAsia="Verdana" w:hAnsi="Verdana" w:cs="Verdana"/>
        </w:rPr>
        <w:t>Premium should be worked out on a composite basis by clubbing both serving employees and retirees.</w:t>
      </w:r>
    </w:p>
    <w:p w:rsidR="0007199D" w:rsidRDefault="00730CE2">
      <w:pPr>
        <w:pStyle w:val="normal0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Verdana" w:eastAsia="Verdana" w:hAnsi="Verdana" w:cs="Verdana"/>
        </w:rPr>
        <w:t>Premium for retirees should also be paid by the managements.</w:t>
      </w:r>
    </w:p>
    <w:p w:rsidR="0007199D" w:rsidRDefault="0007199D">
      <w:pPr>
        <w:pStyle w:val="normal0"/>
        <w:spacing w:after="0" w:line="240" w:lineRule="auto"/>
        <w:jc w:val="both"/>
        <w:rPr>
          <w:rFonts w:ascii="Verdana" w:eastAsia="Verdana" w:hAnsi="Verdana" w:cs="Verdana"/>
        </w:rPr>
      </w:pPr>
    </w:p>
    <w:p w:rsidR="0007199D" w:rsidRDefault="00730CE2">
      <w:pPr>
        <w:pStyle w:val="normal0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IBA took note of the above points raised by us and assured to keep these views in mind while further dealing with the same.</w:t>
      </w:r>
    </w:p>
    <w:p w:rsidR="0007199D" w:rsidRDefault="0007199D">
      <w:pPr>
        <w:pStyle w:val="normal0"/>
        <w:spacing w:after="0" w:line="240" w:lineRule="auto"/>
        <w:jc w:val="both"/>
        <w:rPr>
          <w:rFonts w:ascii="Verdana" w:eastAsia="Verdana" w:hAnsi="Verdana" w:cs="Verdana"/>
        </w:rPr>
      </w:pPr>
    </w:p>
    <w:p w:rsidR="0007199D" w:rsidRDefault="00730CE2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Verdana" w:hAnsi="Verdana" w:cs="Verdana"/>
          <w:b/>
        </w:rPr>
        <w:t>Next round of Talks on 18-8-201</w:t>
      </w:r>
      <w:r>
        <w:rPr>
          <w:rFonts w:ascii="Verdana" w:eastAsia="Verdana" w:hAnsi="Verdana" w:cs="Verdana"/>
        </w:rPr>
        <w:t>8:  Next round of Bipartite Talks (Sub-Committee) will be held on 18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August, 2018.  Discussions wi</w:t>
      </w:r>
      <w:r>
        <w:rPr>
          <w:rFonts w:ascii="Verdana" w:eastAsia="Verdana" w:hAnsi="Verdana" w:cs="Verdana"/>
        </w:rPr>
        <w:t>ll be held in the forenoon with the Officers Associations and in the afternoon with Workman Unions.</w:t>
      </w:r>
      <w:r>
        <w:rPr>
          <w:rFonts w:ascii="Times New Roman" w:eastAsia="Times New Roman" w:hAnsi="Times New Roman" w:cs="Times New Roman"/>
        </w:rPr>
        <w:t>”</w:t>
      </w:r>
    </w:p>
    <w:p w:rsidR="0007199D" w:rsidRDefault="0007199D">
      <w:pPr>
        <w:pStyle w:val="normal0"/>
        <w:spacing w:after="0" w:line="240" w:lineRule="auto"/>
        <w:jc w:val="both"/>
        <w:rPr>
          <w:rFonts w:ascii="Verdana" w:eastAsia="Verdana" w:hAnsi="Verdana" w:cs="Verdana"/>
        </w:rPr>
      </w:pPr>
    </w:p>
    <w:p w:rsidR="0007199D" w:rsidRDefault="00730CE2">
      <w:pPr>
        <w:pStyle w:val="normal0"/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-----------------------------------------------------</w:t>
      </w:r>
      <w:r w:rsidR="00040029">
        <w:rPr>
          <w:rFonts w:ascii="Verdana" w:eastAsia="Verdana" w:hAnsi="Verdana" w:cs="Verdana"/>
          <w:color w:val="000000"/>
        </w:rPr>
        <w:t>---------------------------------------------</w:t>
      </w:r>
    </w:p>
    <w:p w:rsidR="0007199D" w:rsidRDefault="0007199D">
      <w:pPr>
        <w:pStyle w:val="normal0"/>
        <w:spacing w:after="0" w:line="240" w:lineRule="auto"/>
        <w:rPr>
          <w:rFonts w:ascii="Verdana" w:eastAsia="Verdana" w:hAnsi="Verdana" w:cs="Verdana"/>
        </w:rPr>
      </w:pPr>
    </w:p>
    <w:sectPr w:rsidR="0007199D" w:rsidSect="0007199D">
      <w:pgSz w:w="12240" w:h="20160"/>
      <w:pgMar w:top="864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E94"/>
    <w:multiLevelType w:val="multilevel"/>
    <w:tmpl w:val="7A462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99D"/>
    <w:rsid w:val="00040029"/>
    <w:rsid w:val="0007199D"/>
    <w:rsid w:val="0073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07199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0719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719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719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719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7199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719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07199D"/>
  </w:style>
  <w:style w:type="paragraph" w:styleId="Title">
    <w:name w:val="Title"/>
    <w:basedOn w:val="normal0"/>
    <w:next w:val="normal0"/>
    <w:rsid w:val="0007199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07199D"/>
  </w:style>
  <w:style w:type="paragraph" w:customStyle="1" w:styleId="normal3">
    <w:name w:val="normal"/>
    <w:rsid w:val="0007199D"/>
  </w:style>
  <w:style w:type="paragraph" w:customStyle="1" w:styleId="normal0">
    <w:name w:val="normal"/>
    <w:rsid w:val="0007199D"/>
  </w:style>
  <w:style w:type="paragraph" w:styleId="BalloonText">
    <w:name w:val="Balloon Text"/>
    <w:basedOn w:val="Normal"/>
    <w:autoRedefine/>
    <w:hidden/>
    <w:qFormat/>
    <w:rsid w:val="0007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07199D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ormal4">
    <w:name w:val="normal"/>
    <w:autoRedefine/>
    <w:hidden/>
    <w:qFormat/>
    <w:rsid w:val="0007199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IN"/>
    </w:rPr>
  </w:style>
  <w:style w:type="paragraph" w:styleId="Subtitle">
    <w:name w:val="Subtitle"/>
    <w:basedOn w:val="Normal"/>
    <w:next w:val="Normal"/>
    <w:rsid w:val="000719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71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3386</Characters>
  <Application>Microsoft Office Word</Application>
  <DocSecurity>0</DocSecurity>
  <Lines>28</Lines>
  <Paragraphs>7</Paragraphs>
  <ScaleCrop>false</ScaleCrop>
  <Company>SARB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SBI</cp:lastModifiedBy>
  <cp:revision>3</cp:revision>
  <dcterms:created xsi:type="dcterms:W3CDTF">2018-08-10T09:10:00Z</dcterms:created>
  <dcterms:modified xsi:type="dcterms:W3CDTF">2018-08-10T09:14:00Z</dcterms:modified>
</cp:coreProperties>
</file>